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CE6" w:rsidRPr="00A45CBB" w:rsidRDefault="00E24CE6" w:rsidP="00A45CBB">
      <w:pPr>
        <w:spacing w:line="480" w:lineRule="auto"/>
        <w:ind w:hanging="720"/>
        <w:jc w:val="both"/>
        <w:rPr>
          <w:rFonts w:ascii="Times New Roman" w:hAnsi="Times New Roman" w:cs="Times New Roman"/>
          <w:sz w:val="24"/>
          <w:szCs w:val="24"/>
        </w:rPr>
      </w:pPr>
    </w:p>
    <w:p w:rsidR="00E24CE6" w:rsidRPr="00A45CBB" w:rsidRDefault="00E24CE6" w:rsidP="00A45CBB">
      <w:pPr>
        <w:spacing w:line="480" w:lineRule="auto"/>
        <w:ind w:hanging="720"/>
        <w:jc w:val="both"/>
        <w:rPr>
          <w:rFonts w:ascii="Times New Roman" w:hAnsi="Times New Roman" w:cs="Times New Roman"/>
          <w:sz w:val="24"/>
          <w:szCs w:val="24"/>
        </w:rPr>
      </w:pPr>
    </w:p>
    <w:p w:rsidR="00E24CE6" w:rsidRPr="00A45CBB" w:rsidRDefault="00E24CE6" w:rsidP="00A45CBB">
      <w:pPr>
        <w:spacing w:line="480" w:lineRule="auto"/>
        <w:ind w:hanging="720"/>
        <w:jc w:val="both"/>
        <w:rPr>
          <w:rFonts w:ascii="Times New Roman" w:hAnsi="Times New Roman" w:cs="Times New Roman"/>
          <w:sz w:val="24"/>
          <w:szCs w:val="24"/>
        </w:rPr>
      </w:pPr>
    </w:p>
    <w:p w:rsidR="00E24CE6" w:rsidRPr="00A45CBB" w:rsidRDefault="00E24CE6" w:rsidP="00A45CBB">
      <w:pPr>
        <w:spacing w:line="480" w:lineRule="auto"/>
        <w:ind w:hanging="720"/>
        <w:jc w:val="both"/>
        <w:rPr>
          <w:rFonts w:ascii="Times New Roman" w:hAnsi="Times New Roman" w:cs="Times New Roman"/>
          <w:sz w:val="24"/>
          <w:szCs w:val="24"/>
        </w:rPr>
      </w:pPr>
    </w:p>
    <w:p w:rsidR="00E24CE6" w:rsidRPr="00A45CBB" w:rsidRDefault="00E24CE6" w:rsidP="00A45CBB">
      <w:pPr>
        <w:spacing w:line="480" w:lineRule="auto"/>
        <w:ind w:hanging="720"/>
        <w:jc w:val="both"/>
        <w:rPr>
          <w:rFonts w:ascii="Times New Roman" w:hAnsi="Times New Roman" w:cs="Times New Roman"/>
          <w:sz w:val="24"/>
          <w:szCs w:val="24"/>
        </w:rPr>
      </w:pPr>
    </w:p>
    <w:p w:rsidR="00E24CE6" w:rsidRPr="00A45CBB" w:rsidRDefault="00E24CE6" w:rsidP="00A45CBB">
      <w:pPr>
        <w:spacing w:line="480" w:lineRule="auto"/>
        <w:ind w:hanging="720"/>
        <w:jc w:val="both"/>
        <w:rPr>
          <w:rFonts w:ascii="Times New Roman" w:hAnsi="Times New Roman" w:cs="Times New Roman"/>
          <w:sz w:val="24"/>
          <w:szCs w:val="24"/>
        </w:rPr>
      </w:pPr>
    </w:p>
    <w:p w:rsidR="00E24CE6" w:rsidRDefault="007F340C" w:rsidP="007F340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24CE6" w:rsidRPr="00A45CBB">
        <w:rPr>
          <w:rFonts w:ascii="Times New Roman" w:hAnsi="Times New Roman" w:cs="Times New Roman"/>
          <w:sz w:val="24"/>
          <w:szCs w:val="24"/>
        </w:rPr>
        <w:t>Harlem Renaissance</w:t>
      </w:r>
    </w:p>
    <w:p w:rsidR="000457DD" w:rsidRDefault="000457DD" w:rsidP="007F340C">
      <w:pPr>
        <w:spacing w:line="480" w:lineRule="auto"/>
        <w:rPr>
          <w:rFonts w:ascii="Times New Roman" w:hAnsi="Times New Roman" w:cs="Times New Roman"/>
          <w:sz w:val="24"/>
          <w:szCs w:val="24"/>
        </w:rPr>
      </w:pPr>
    </w:p>
    <w:p w:rsidR="000457DD" w:rsidRDefault="000457DD" w:rsidP="007F340C">
      <w:pPr>
        <w:spacing w:line="480" w:lineRule="auto"/>
        <w:rPr>
          <w:rFonts w:ascii="Times New Roman" w:hAnsi="Times New Roman" w:cs="Times New Roman"/>
          <w:sz w:val="24"/>
          <w:szCs w:val="24"/>
        </w:rPr>
      </w:pPr>
    </w:p>
    <w:p w:rsidR="000457DD" w:rsidRDefault="000457DD" w:rsidP="007F340C">
      <w:pPr>
        <w:spacing w:line="480" w:lineRule="auto"/>
        <w:rPr>
          <w:rFonts w:ascii="Times New Roman" w:hAnsi="Times New Roman" w:cs="Times New Roman"/>
          <w:sz w:val="24"/>
          <w:szCs w:val="24"/>
        </w:rPr>
      </w:pPr>
    </w:p>
    <w:p w:rsidR="000457DD" w:rsidRPr="00A45CBB" w:rsidRDefault="000457DD" w:rsidP="007F340C">
      <w:pPr>
        <w:spacing w:line="480" w:lineRule="auto"/>
        <w:rPr>
          <w:rFonts w:ascii="Times New Roman" w:hAnsi="Times New Roman" w:cs="Times New Roman"/>
          <w:sz w:val="24"/>
          <w:szCs w:val="24"/>
        </w:rPr>
      </w:pPr>
    </w:p>
    <w:p w:rsidR="00E24CE6" w:rsidRPr="00A45CBB" w:rsidRDefault="00E24CE6" w:rsidP="00A45CBB">
      <w:pPr>
        <w:spacing w:line="480" w:lineRule="auto"/>
        <w:ind w:hanging="720"/>
        <w:jc w:val="center"/>
        <w:rPr>
          <w:rFonts w:ascii="Times New Roman" w:hAnsi="Times New Roman" w:cs="Times New Roman"/>
          <w:sz w:val="24"/>
          <w:szCs w:val="24"/>
        </w:rPr>
      </w:pPr>
      <w:r w:rsidRPr="00A45CBB">
        <w:rPr>
          <w:rFonts w:ascii="Times New Roman" w:hAnsi="Times New Roman" w:cs="Times New Roman"/>
          <w:sz w:val="24"/>
          <w:szCs w:val="24"/>
        </w:rPr>
        <w:t>Student's Name</w:t>
      </w:r>
    </w:p>
    <w:p w:rsidR="00E24CE6" w:rsidRPr="00A45CBB" w:rsidRDefault="00E24CE6" w:rsidP="00A45CBB">
      <w:pPr>
        <w:spacing w:line="480" w:lineRule="auto"/>
        <w:ind w:hanging="720"/>
        <w:jc w:val="center"/>
        <w:rPr>
          <w:rFonts w:ascii="Times New Roman" w:hAnsi="Times New Roman" w:cs="Times New Roman"/>
          <w:sz w:val="24"/>
          <w:szCs w:val="24"/>
        </w:rPr>
      </w:pPr>
      <w:r w:rsidRPr="00A45CBB">
        <w:rPr>
          <w:rFonts w:ascii="Times New Roman" w:hAnsi="Times New Roman" w:cs="Times New Roman"/>
          <w:sz w:val="24"/>
          <w:szCs w:val="24"/>
        </w:rPr>
        <w:t>University Affiliation</w:t>
      </w:r>
    </w:p>
    <w:p w:rsidR="007F340C" w:rsidRDefault="00E24CE6" w:rsidP="000B513F">
      <w:pPr>
        <w:spacing w:line="480" w:lineRule="auto"/>
        <w:ind w:hanging="720"/>
        <w:jc w:val="center"/>
        <w:rPr>
          <w:rFonts w:ascii="Times New Roman" w:hAnsi="Times New Roman" w:cs="Times New Roman"/>
          <w:sz w:val="24"/>
          <w:szCs w:val="24"/>
        </w:rPr>
      </w:pPr>
      <w:r w:rsidRPr="00A45CBB">
        <w:rPr>
          <w:rFonts w:ascii="Times New Roman" w:hAnsi="Times New Roman" w:cs="Times New Roman"/>
          <w:sz w:val="24"/>
          <w:szCs w:val="24"/>
        </w:rPr>
        <w:t>Date</w:t>
      </w:r>
    </w:p>
    <w:p w:rsidR="000B513F" w:rsidRDefault="000B513F">
      <w:pPr>
        <w:rPr>
          <w:rFonts w:ascii="Times New Roman" w:hAnsi="Times New Roman" w:cs="Times New Roman"/>
          <w:sz w:val="24"/>
          <w:szCs w:val="24"/>
        </w:rPr>
      </w:pPr>
      <w:r>
        <w:rPr>
          <w:rFonts w:ascii="Times New Roman" w:hAnsi="Times New Roman" w:cs="Times New Roman"/>
          <w:sz w:val="24"/>
          <w:szCs w:val="24"/>
        </w:rPr>
        <w:br w:type="page"/>
      </w:r>
    </w:p>
    <w:p w:rsidR="00E24CE6" w:rsidRPr="00A45CBB" w:rsidRDefault="00E24CE6" w:rsidP="007F340C">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lastRenderedPageBreak/>
        <w:t xml:space="preserve">The Harlem Renaissance was the early twentieth-century emergence of Harlem as a Local cultural Mecca in New York City and the ensuing involved social boom. From the 1910s through the mid-1930s, Black Community saw a significant era in poetry, music, theater, and art. Historically, the Harlem Renaissance was seen as an intellectual period focused in Harlem, arising from immigrants arriving and Harlem's rise as America's central black city. Music and theater were referenced extensively as a backdrop and local flavor for literature and prose. This dissertation compares Gwendolyn B. Bennett's To a Dark Girl, Langston Hughes' Harlem Sweeties, and </w:t>
      </w:r>
      <w:proofErr w:type="spellStart"/>
      <w:r w:rsidRPr="00A45CBB">
        <w:rPr>
          <w:rFonts w:ascii="Times New Roman" w:hAnsi="Times New Roman" w:cs="Times New Roman"/>
          <w:sz w:val="24"/>
          <w:szCs w:val="24"/>
        </w:rPr>
        <w:t>Countee</w:t>
      </w:r>
      <w:proofErr w:type="spellEnd"/>
      <w:r w:rsidRPr="00A45CBB">
        <w:rPr>
          <w:rFonts w:ascii="Times New Roman" w:hAnsi="Times New Roman" w:cs="Times New Roman"/>
          <w:sz w:val="24"/>
          <w:szCs w:val="24"/>
        </w:rPr>
        <w:t xml:space="preserve"> Cullen's Brown Boy to Brown Girl.</w:t>
      </w:r>
    </w:p>
    <w:p w:rsidR="00E24CE6" w:rsidRPr="00A45CBB" w:rsidRDefault="00E24CE6" w:rsidP="00A45CBB">
      <w:pPr>
        <w:spacing w:line="480" w:lineRule="auto"/>
        <w:ind w:hanging="720"/>
        <w:jc w:val="center"/>
        <w:rPr>
          <w:rFonts w:ascii="Times New Roman" w:hAnsi="Times New Roman" w:cs="Times New Roman"/>
          <w:b/>
          <w:sz w:val="24"/>
          <w:szCs w:val="24"/>
        </w:rPr>
      </w:pPr>
      <w:r w:rsidRPr="00A45CBB">
        <w:rPr>
          <w:rFonts w:ascii="Times New Roman" w:hAnsi="Times New Roman" w:cs="Times New Roman"/>
          <w:b/>
          <w:sz w:val="24"/>
          <w:szCs w:val="24"/>
        </w:rPr>
        <w:t>Gwendolyn B. Bennett-To a Dark Girl</w:t>
      </w:r>
    </w:p>
    <w:p w:rsidR="00E24CE6" w:rsidRPr="00A45CBB" w:rsidRDefault="00E24CE6" w:rsidP="00A45CBB">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 xml:space="preserve">To A Dark Girl' is a particular poem by Gwendolyn because </w:t>
      </w:r>
      <w:proofErr w:type="spellStart"/>
      <w:r w:rsidRPr="00A45CBB">
        <w:rPr>
          <w:rFonts w:ascii="Times New Roman" w:hAnsi="Times New Roman" w:cs="Times New Roman"/>
          <w:sz w:val="24"/>
          <w:szCs w:val="24"/>
        </w:rPr>
        <w:t>Countee</w:t>
      </w:r>
      <w:proofErr w:type="spellEnd"/>
      <w:r w:rsidRPr="00A45CBB">
        <w:rPr>
          <w:rFonts w:ascii="Times New Roman" w:hAnsi="Times New Roman" w:cs="Times New Roman"/>
          <w:sz w:val="24"/>
          <w:szCs w:val="24"/>
        </w:rPr>
        <w:t xml:space="preserve"> Cullen picked it for the 1927 collection. In the anthology of the lines by Negro poets, we discover this wonderful poetry significant since it includes racial feelings of pride as African American and supports the elegance of black girls personally. The more passionate theme of the poem demonstrates the efforts and time she spent on the carving and respected many of her </w:t>
      </w:r>
      <w:r w:rsidR="00A45CBB" w:rsidRPr="00A45CBB">
        <w:rPr>
          <w:rFonts w:ascii="Times New Roman" w:hAnsi="Times New Roman" w:cs="Times New Roman"/>
          <w:sz w:val="24"/>
          <w:szCs w:val="24"/>
        </w:rPr>
        <w:t>heritages</w:t>
      </w:r>
      <w:r w:rsidRPr="00A45CBB">
        <w:rPr>
          <w:rFonts w:ascii="Times New Roman" w:hAnsi="Times New Roman" w:cs="Times New Roman"/>
          <w:sz w:val="24"/>
          <w:szCs w:val="24"/>
        </w:rPr>
        <w:t xml:space="preserve"> (Wheeler, 2015). Her engagement to a doctor in 1927 compelled her to relocate to rural Florida, which had a detrimental effect on her literary and creative endeavors as her column came to an end. She was unable to write due to the demands of family life as a wife and experienced unhappy times. They moved to New York City in 1930. Still, the Harlem Renaissance was almost ended, as the Great Recession made it difficult to keep creating artworks more concerned with elevating ethnicity than preserving it.</w:t>
      </w:r>
    </w:p>
    <w:p w:rsidR="00A45CBB" w:rsidRDefault="00E24CE6" w:rsidP="00A45CBB">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 xml:space="preserve">Despite the global financial strains on everyone, Gwendolyn kept some connections to literary activity and ultimately became the head of the Harlem Community Art Center in 1937. In </w:t>
      </w:r>
      <w:r w:rsidRPr="00A45CBB">
        <w:rPr>
          <w:rFonts w:ascii="Times New Roman" w:hAnsi="Times New Roman" w:cs="Times New Roman"/>
          <w:sz w:val="24"/>
          <w:szCs w:val="24"/>
        </w:rPr>
        <w:lastRenderedPageBreak/>
        <w:t xml:space="preserve">1941, Gwendolyn's life was abysmal as she faced communist charges, which cost her post and wrecked her profession in school. Gwendolyn Bennett's poetry mirrored the Harlem Renaissance's recurring patterns and topics. They might be reflected in the motion since their only message was one of black superiority. They saw African and Black Person cultures as recognizing black people via dance and music, admiration for Africa, and passionate lyricism. </w:t>
      </w:r>
    </w:p>
    <w:p w:rsidR="00E24CE6" w:rsidRPr="00A45CBB" w:rsidRDefault="00E24CE6" w:rsidP="00A45CBB">
      <w:pPr>
        <w:spacing w:line="480" w:lineRule="auto"/>
        <w:ind w:hanging="720"/>
        <w:jc w:val="center"/>
        <w:rPr>
          <w:rFonts w:ascii="Times New Roman" w:hAnsi="Times New Roman" w:cs="Times New Roman"/>
          <w:b/>
          <w:sz w:val="24"/>
          <w:szCs w:val="24"/>
        </w:rPr>
      </w:pPr>
      <w:r w:rsidRPr="00A45CBB">
        <w:rPr>
          <w:rFonts w:ascii="Times New Roman" w:hAnsi="Times New Roman" w:cs="Times New Roman"/>
          <w:b/>
          <w:sz w:val="24"/>
          <w:szCs w:val="24"/>
        </w:rPr>
        <w:t>Langston Hughes- Harlem Sweeties</w:t>
      </w:r>
    </w:p>
    <w:p w:rsidR="00E24CE6" w:rsidRPr="00A45CBB" w:rsidRDefault="00E24CE6" w:rsidP="00A45CBB">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 xml:space="preserve">The Harlem Langston Hughes described in 1951 is a far cry from the Harlem of today. "Harlem" establishes a city that presents a tale, giving voice to a limited group of individuals spanning ages who transcend categorization by a period in history. Hughes' history indicates that he got active in political activism early in adulthood; this may help explain the second title and why this poem is one of many in a sequence of distressing works rooted in African Renaissance customs. Hughes may have felt driven being more forthright in his emotions as he more securely adopted the feeling of strength he received from his challenges in life. If such is the case, this might very well be the effect of a more clear title. "Harlem of sweeties" </w:t>
      </w:r>
      <w:r w:rsidR="006A65C8" w:rsidRPr="00A45CBB">
        <w:rPr>
          <w:rFonts w:ascii="Times New Roman" w:hAnsi="Times New Roman" w:cs="Times New Roman"/>
          <w:sz w:val="24"/>
          <w:szCs w:val="24"/>
        </w:rPr>
        <w:t>works</w:t>
      </w:r>
      <w:r w:rsidRPr="00A45CBB">
        <w:rPr>
          <w:rFonts w:ascii="Times New Roman" w:hAnsi="Times New Roman" w:cs="Times New Roman"/>
          <w:sz w:val="24"/>
          <w:szCs w:val="24"/>
        </w:rPr>
        <w:t xml:space="preserve"> in tandem and are tied to the composer's topic (Davis, 1952). On the surface, Hughes' use of metaphorical figurative language makes this poetry accessible to a broad spectrum of readers. When seen through the lens of the Harlem Renaissance, their variety becomes quite comprehensive.</w:t>
      </w:r>
    </w:p>
    <w:p w:rsidR="00E24CE6" w:rsidRPr="00A45CBB" w:rsidRDefault="00E24CE6" w:rsidP="00A45CBB">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 xml:space="preserve">Ironically, even when we look at the composer's higher purpose, it depicts reality in Harlem at the time. To listen to the voice, the listener must take a step back and gaze further than the image painted by the phrases. Hughes needed to offer his voice to the people. The singer spoke for everyone, an all-inclusive vocal for all who deserved to be addressed, regardless of </w:t>
      </w:r>
      <w:r w:rsidRPr="00A45CBB">
        <w:rPr>
          <w:rFonts w:ascii="Times New Roman" w:hAnsi="Times New Roman" w:cs="Times New Roman"/>
          <w:sz w:val="24"/>
          <w:szCs w:val="24"/>
        </w:rPr>
        <w:lastRenderedPageBreak/>
        <w:t>how the dream's postponement impacted them personally. Hughes accomplished this by offering a place for undivided power to a nation that had been denied their goal for far too lengthy.</w:t>
      </w:r>
    </w:p>
    <w:p w:rsidR="00E24CE6" w:rsidRPr="00A45CBB" w:rsidRDefault="00E24CE6" w:rsidP="00A45CBB">
      <w:pPr>
        <w:spacing w:line="480" w:lineRule="auto"/>
        <w:ind w:hanging="720"/>
        <w:jc w:val="center"/>
        <w:rPr>
          <w:rFonts w:ascii="Times New Roman" w:hAnsi="Times New Roman" w:cs="Times New Roman"/>
          <w:b/>
          <w:sz w:val="24"/>
          <w:szCs w:val="24"/>
        </w:rPr>
      </w:pPr>
      <w:proofErr w:type="spellStart"/>
      <w:r w:rsidRPr="00A45CBB">
        <w:rPr>
          <w:rFonts w:ascii="Times New Roman" w:hAnsi="Times New Roman" w:cs="Times New Roman"/>
          <w:b/>
          <w:sz w:val="24"/>
          <w:szCs w:val="24"/>
        </w:rPr>
        <w:t>Countee</w:t>
      </w:r>
      <w:proofErr w:type="spellEnd"/>
      <w:r w:rsidRPr="00A45CBB">
        <w:rPr>
          <w:rFonts w:ascii="Times New Roman" w:hAnsi="Times New Roman" w:cs="Times New Roman"/>
          <w:b/>
          <w:sz w:val="24"/>
          <w:szCs w:val="24"/>
        </w:rPr>
        <w:t xml:space="preserve"> Cullen- Brown Boy to Brown Girl</w:t>
      </w:r>
    </w:p>
    <w:p w:rsidR="00E24CE6" w:rsidRPr="00A45CBB" w:rsidRDefault="00E24CE6" w:rsidP="00A45CBB">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The author is attempting to communicate to the next generation of African American males not to be misled by the intermediate whites' general societal ideas of suppressed sexual identity but to embrace the elegance and tradition of their ancestors. Since color is just skin deep and natural laws do not differ significantly in terms of races (Smith, 1956). He also recognizes that, even though his folks are unique, they are still as talented in other areas and are thus deserving of respect. The way he concluded the poem in such an assertive but impartial manner, conveying one of the essential truths in contemporary literature: that in mortality, all men are the same, is also rather intriguing to contemplate.</w:t>
      </w:r>
    </w:p>
    <w:p w:rsidR="000B2C9E" w:rsidRDefault="00E24CE6" w:rsidP="000B2C9E">
      <w:pPr>
        <w:spacing w:line="480" w:lineRule="auto"/>
        <w:ind w:firstLine="720"/>
        <w:jc w:val="both"/>
        <w:rPr>
          <w:rFonts w:ascii="Times New Roman" w:hAnsi="Times New Roman" w:cs="Times New Roman"/>
          <w:sz w:val="24"/>
          <w:szCs w:val="24"/>
        </w:rPr>
      </w:pPr>
      <w:r w:rsidRPr="00A45CBB">
        <w:rPr>
          <w:rFonts w:ascii="Times New Roman" w:hAnsi="Times New Roman" w:cs="Times New Roman"/>
          <w:sz w:val="24"/>
          <w:szCs w:val="24"/>
        </w:rPr>
        <w:t>In conclusion, the Harlem Renaissance demonstrates how several young writers, like Bennett, helped bring blacks together and inspired them to envision a positive outcome; the movement tendencies from the south to the north and center, where Africans were reintroduced. They were hoping for more significant opportunities in urban businesses. The paintings altered their thoughts and perspectives by demonstrating that Africans, too, are competent.</w:t>
      </w:r>
    </w:p>
    <w:p w:rsidR="00970718" w:rsidRDefault="00970718">
      <w:pPr>
        <w:rPr>
          <w:rFonts w:ascii="Times New Roman" w:hAnsi="Times New Roman" w:cs="Times New Roman"/>
          <w:sz w:val="24"/>
          <w:szCs w:val="24"/>
        </w:rPr>
      </w:pPr>
      <w:r>
        <w:rPr>
          <w:rFonts w:ascii="Times New Roman" w:hAnsi="Times New Roman" w:cs="Times New Roman"/>
          <w:sz w:val="24"/>
          <w:szCs w:val="24"/>
        </w:rPr>
        <w:br w:type="page"/>
      </w:r>
    </w:p>
    <w:p w:rsidR="00E24CE6" w:rsidRPr="00A45CBB" w:rsidRDefault="00E24CE6" w:rsidP="00271698">
      <w:pPr>
        <w:jc w:val="center"/>
        <w:rPr>
          <w:rFonts w:ascii="Times New Roman" w:hAnsi="Times New Roman" w:cs="Times New Roman"/>
          <w:sz w:val="24"/>
          <w:szCs w:val="24"/>
        </w:rPr>
      </w:pPr>
      <w:bookmarkStart w:id="0" w:name="_GoBack"/>
      <w:bookmarkEnd w:id="0"/>
      <w:r w:rsidRPr="00A45CBB">
        <w:rPr>
          <w:rFonts w:ascii="Times New Roman" w:hAnsi="Times New Roman" w:cs="Times New Roman"/>
          <w:sz w:val="24"/>
          <w:szCs w:val="24"/>
        </w:rPr>
        <w:lastRenderedPageBreak/>
        <w:t>References</w:t>
      </w:r>
    </w:p>
    <w:p w:rsidR="00E24CE6" w:rsidRPr="00A45CBB" w:rsidRDefault="00E24CE6" w:rsidP="000457DD">
      <w:pPr>
        <w:spacing w:line="480" w:lineRule="auto"/>
        <w:ind w:hanging="720"/>
        <w:rPr>
          <w:rFonts w:ascii="Times New Roman" w:hAnsi="Times New Roman" w:cs="Times New Roman"/>
          <w:sz w:val="24"/>
          <w:szCs w:val="24"/>
        </w:rPr>
      </w:pPr>
      <w:r w:rsidRPr="00A45CBB">
        <w:rPr>
          <w:rFonts w:ascii="Times New Roman" w:hAnsi="Times New Roman" w:cs="Times New Roman"/>
          <w:sz w:val="24"/>
          <w:szCs w:val="24"/>
        </w:rPr>
        <w:t xml:space="preserve">Wheeler, B., </w:t>
      </w:r>
      <w:r w:rsidR="0008186C">
        <w:rPr>
          <w:rFonts w:ascii="Times New Roman" w:hAnsi="Times New Roman" w:cs="Times New Roman"/>
          <w:sz w:val="24"/>
          <w:szCs w:val="24"/>
        </w:rPr>
        <w:t>(</w:t>
      </w:r>
      <w:r w:rsidRPr="00A45CBB">
        <w:rPr>
          <w:rFonts w:ascii="Times New Roman" w:hAnsi="Times New Roman" w:cs="Times New Roman"/>
          <w:sz w:val="24"/>
          <w:szCs w:val="24"/>
        </w:rPr>
        <w:t>2015</w:t>
      </w:r>
      <w:r w:rsidR="0008186C">
        <w:rPr>
          <w:rFonts w:ascii="Times New Roman" w:hAnsi="Times New Roman" w:cs="Times New Roman"/>
          <w:sz w:val="24"/>
          <w:szCs w:val="24"/>
        </w:rPr>
        <w:t>)</w:t>
      </w:r>
      <w:r w:rsidRPr="00A45CBB">
        <w:rPr>
          <w:rFonts w:ascii="Times New Roman" w:hAnsi="Times New Roman" w:cs="Times New Roman"/>
          <w:sz w:val="24"/>
          <w:szCs w:val="24"/>
        </w:rPr>
        <w:t>. A Companion to the Harlem Renaissance. [</w:t>
      </w:r>
      <w:r w:rsidR="000457DD" w:rsidRPr="00A45CBB">
        <w:rPr>
          <w:rFonts w:ascii="Times New Roman" w:hAnsi="Times New Roman" w:cs="Times New Roman"/>
          <w:sz w:val="24"/>
          <w:szCs w:val="24"/>
        </w:rPr>
        <w:t>Online</w:t>
      </w:r>
      <w:r w:rsidRPr="00A45CBB">
        <w:rPr>
          <w:rFonts w:ascii="Times New Roman" w:hAnsi="Times New Roman" w:cs="Times New Roman"/>
          <w:sz w:val="24"/>
          <w:szCs w:val="24"/>
        </w:rPr>
        <w:t>] Google Books. Available at: &lt;https://books.google.co.ke/books?hl=en&amp;lr=&amp;id=yQdQCgAAQBAJ&amp;oi=fnd&amp;pg=PA203&amp;dq=GWENDOLYN+B.+BENNETT-To+A+Dark+Girl+&amp;ots=h9zexB4N9X&amp;sig=_OxtSdTwVHfKqzr5EtU60lfS4Jw&amp;redir_esc=y#v=onepage&amp;q&amp;f=false&gt; [Accessed 16 November 2021].</w:t>
      </w:r>
    </w:p>
    <w:p w:rsidR="00E24CE6" w:rsidRPr="00A45CBB" w:rsidRDefault="00E24CE6" w:rsidP="000457DD">
      <w:pPr>
        <w:spacing w:line="480" w:lineRule="auto"/>
        <w:ind w:hanging="720"/>
        <w:rPr>
          <w:rFonts w:ascii="Times New Roman" w:hAnsi="Times New Roman" w:cs="Times New Roman"/>
          <w:sz w:val="24"/>
          <w:szCs w:val="24"/>
        </w:rPr>
      </w:pPr>
      <w:r w:rsidRPr="00A45CBB">
        <w:rPr>
          <w:rFonts w:ascii="Times New Roman" w:hAnsi="Times New Roman" w:cs="Times New Roman"/>
          <w:sz w:val="24"/>
          <w:szCs w:val="24"/>
        </w:rPr>
        <w:t xml:space="preserve">Davis, A., </w:t>
      </w:r>
      <w:r w:rsidR="000457DD">
        <w:rPr>
          <w:rFonts w:ascii="Times New Roman" w:hAnsi="Times New Roman" w:cs="Times New Roman"/>
          <w:sz w:val="24"/>
          <w:szCs w:val="24"/>
        </w:rPr>
        <w:t>(</w:t>
      </w:r>
      <w:r w:rsidRPr="00A45CBB">
        <w:rPr>
          <w:rFonts w:ascii="Times New Roman" w:hAnsi="Times New Roman" w:cs="Times New Roman"/>
          <w:sz w:val="24"/>
          <w:szCs w:val="24"/>
        </w:rPr>
        <w:t>1952</w:t>
      </w:r>
      <w:r w:rsidR="000457DD">
        <w:rPr>
          <w:rFonts w:ascii="Times New Roman" w:hAnsi="Times New Roman" w:cs="Times New Roman"/>
          <w:sz w:val="24"/>
          <w:szCs w:val="24"/>
        </w:rPr>
        <w:t>)</w:t>
      </w:r>
      <w:r w:rsidRPr="00A45CBB">
        <w:rPr>
          <w:rFonts w:ascii="Times New Roman" w:hAnsi="Times New Roman" w:cs="Times New Roman"/>
          <w:sz w:val="24"/>
          <w:szCs w:val="24"/>
        </w:rPr>
        <w:t xml:space="preserve">. The Harlem </w:t>
      </w:r>
      <w:proofErr w:type="gramStart"/>
      <w:r w:rsidRPr="00A45CBB">
        <w:rPr>
          <w:rFonts w:ascii="Times New Roman" w:hAnsi="Times New Roman" w:cs="Times New Roman"/>
          <w:sz w:val="24"/>
          <w:szCs w:val="24"/>
        </w:rPr>
        <w:t>Of</w:t>
      </w:r>
      <w:proofErr w:type="gramEnd"/>
      <w:r w:rsidRPr="00A45CBB">
        <w:rPr>
          <w:rFonts w:ascii="Times New Roman" w:hAnsi="Times New Roman" w:cs="Times New Roman"/>
          <w:sz w:val="24"/>
          <w:szCs w:val="24"/>
        </w:rPr>
        <w:t xml:space="preserve"> Langston Hughes's Poetry. [</w:t>
      </w:r>
      <w:proofErr w:type="gramStart"/>
      <w:r w:rsidRPr="00A45CBB">
        <w:rPr>
          <w:rFonts w:ascii="Times New Roman" w:hAnsi="Times New Roman" w:cs="Times New Roman"/>
          <w:sz w:val="24"/>
          <w:szCs w:val="24"/>
        </w:rPr>
        <w:t>online</w:t>
      </w:r>
      <w:proofErr w:type="gramEnd"/>
      <w:r w:rsidRPr="00A45CBB">
        <w:rPr>
          <w:rFonts w:ascii="Times New Roman" w:hAnsi="Times New Roman" w:cs="Times New Roman"/>
          <w:sz w:val="24"/>
          <w:szCs w:val="24"/>
        </w:rPr>
        <w:t>] Available at: &lt;https://www.jstor.org/stable/272559&gt; [Accessed 16 November 2021].</w:t>
      </w:r>
    </w:p>
    <w:p w:rsidR="00D9530D" w:rsidRDefault="000457DD" w:rsidP="000457DD">
      <w:pPr>
        <w:spacing w:line="480" w:lineRule="auto"/>
        <w:ind w:hanging="720"/>
        <w:rPr>
          <w:rFonts w:ascii="Times New Roman" w:hAnsi="Times New Roman" w:cs="Times New Roman"/>
          <w:sz w:val="24"/>
          <w:szCs w:val="24"/>
        </w:rPr>
      </w:pPr>
      <w:r>
        <w:rPr>
          <w:rFonts w:ascii="Arial" w:hAnsi="Arial" w:cs="Arial"/>
          <w:color w:val="222222"/>
          <w:sz w:val="20"/>
          <w:szCs w:val="20"/>
          <w:shd w:val="clear" w:color="auto" w:fill="FFFFFF"/>
        </w:rPr>
        <w:t>Smith, R. A. (1950)</w:t>
      </w:r>
      <w:r w:rsidR="00E24CE6" w:rsidRPr="00A45CBB">
        <w:rPr>
          <w:rFonts w:ascii="Times New Roman" w:hAnsi="Times New Roman" w:cs="Times New Roman"/>
          <w:sz w:val="24"/>
          <w:szCs w:val="24"/>
        </w:rPr>
        <w:t xml:space="preserve">. The Poetry of </w:t>
      </w:r>
      <w:proofErr w:type="spellStart"/>
      <w:r w:rsidR="00E24CE6" w:rsidRPr="00A45CBB">
        <w:rPr>
          <w:rFonts w:ascii="Times New Roman" w:hAnsi="Times New Roman" w:cs="Times New Roman"/>
          <w:sz w:val="24"/>
          <w:szCs w:val="24"/>
        </w:rPr>
        <w:t>Countee</w:t>
      </w:r>
      <w:proofErr w:type="spellEnd"/>
      <w:r w:rsidR="00E24CE6" w:rsidRPr="00A45CBB">
        <w:rPr>
          <w:rFonts w:ascii="Times New Roman" w:hAnsi="Times New Roman" w:cs="Times New Roman"/>
          <w:sz w:val="24"/>
          <w:szCs w:val="24"/>
        </w:rPr>
        <w:t xml:space="preserve"> Cullen. [</w:t>
      </w:r>
      <w:proofErr w:type="gramStart"/>
      <w:r w:rsidR="00E24CE6" w:rsidRPr="00A45CBB">
        <w:rPr>
          <w:rFonts w:ascii="Times New Roman" w:hAnsi="Times New Roman" w:cs="Times New Roman"/>
          <w:sz w:val="24"/>
          <w:szCs w:val="24"/>
        </w:rPr>
        <w:t>online</w:t>
      </w:r>
      <w:proofErr w:type="gramEnd"/>
      <w:r w:rsidR="00E24CE6" w:rsidRPr="00A45CBB">
        <w:rPr>
          <w:rFonts w:ascii="Times New Roman" w:hAnsi="Times New Roman" w:cs="Times New Roman"/>
          <w:sz w:val="24"/>
          <w:szCs w:val="24"/>
        </w:rPr>
        <w:t>] Available at: &lt;https://www.jstor.org/stable/272005&gt; [Accessed 16 November 2021].</w:t>
      </w:r>
    </w:p>
    <w:p w:rsidR="000457DD" w:rsidRPr="00A45CBB" w:rsidRDefault="000457DD" w:rsidP="000457DD">
      <w:pPr>
        <w:spacing w:line="480" w:lineRule="auto"/>
        <w:rPr>
          <w:rFonts w:ascii="Times New Roman" w:hAnsi="Times New Roman" w:cs="Times New Roman"/>
          <w:sz w:val="24"/>
          <w:szCs w:val="24"/>
        </w:rPr>
      </w:pPr>
    </w:p>
    <w:sectPr w:rsidR="000457DD" w:rsidRPr="00A45CBB" w:rsidSect="003E166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217" w:rsidRDefault="00962217" w:rsidP="00A45CBB">
      <w:pPr>
        <w:spacing w:after="0" w:line="240" w:lineRule="auto"/>
      </w:pPr>
      <w:r>
        <w:separator/>
      </w:r>
    </w:p>
  </w:endnote>
  <w:endnote w:type="continuationSeparator" w:id="0">
    <w:p w:rsidR="00962217" w:rsidRDefault="00962217" w:rsidP="00A4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217" w:rsidRDefault="00962217" w:rsidP="00A45CBB">
      <w:pPr>
        <w:spacing w:after="0" w:line="240" w:lineRule="auto"/>
      </w:pPr>
      <w:r>
        <w:separator/>
      </w:r>
    </w:p>
  </w:footnote>
  <w:footnote w:type="continuationSeparator" w:id="0">
    <w:p w:rsidR="00962217" w:rsidRDefault="00962217" w:rsidP="00A45C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0569657"/>
      <w:docPartObj>
        <w:docPartGallery w:val="Page Numbers (Top of Page)"/>
        <w:docPartUnique/>
      </w:docPartObj>
    </w:sdtPr>
    <w:sdtEndPr/>
    <w:sdtContent>
      <w:p w:rsidR="00A45CBB" w:rsidRDefault="000B513F" w:rsidP="000B513F">
        <w:pPr>
          <w:pStyle w:val="Header"/>
        </w:pPr>
        <w:r w:rsidRPr="003E166E">
          <w:rPr>
            <w:rFonts w:ascii="Times New Roman" w:hAnsi="Times New Roman" w:cs="Times New Roman"/>
            <w:sz w:val="24"/>
            <w:szCs w:val="24"/>
          </w:rPr>
          <w:t>HARLEM RENAISSANCE</w:t>
        </w:r>
        <w:r>
          <w:rPr>
            <w:noProof/>
          </w:rPr>
          <w:t xml:space="preserve">                                                                                                                                   </w:t>
        </w:r>
        <w:r w:rsidR="00962217">
          <w:rPr>
            <w:noProof/>
          </w:rPr>
          <w:fldChar w:fldCharType="begin"/>
        </w:r>
        <w:r w:rsidR="00962217">
          <w:rPr>
            <w:noProof/>
          </w:rPr>
          <w:instrText xml:space="preserve"> PAGE   \* MERGEFORMAT </w:instrText>
        </w:r>
        <w:r w:rsidR="00962217">
          <w:rPr>
            <w:noProof/>
          </w:rPr>
          <w:fldChar w:fldCharType="separate"/>
        </w:r>
        <w:r w:rsidR="00970718">
          <w:rPr>
            <w:noProof/>
          </w:rPr>
          <w:t>5</w:t>
        </w:r>
        <w:r w:rsidR="00962217">
          <w:rPr>
            <w:noProof/>
          </w:rPr>
          <w:fldChar w:fldCharType="end"/>
        </w:r>
      </w:p>
    </w:sdtContent>
  </w:sdt>
  <w:p w:rsidR="00A45CBB" w:rsidRDefault="00A45C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66E" w:rsidRPr="003E166E" w:rsidRDefault="003E166E" w:rsidP="003E166E">
    <w:pPr>
      <w:pStyle w:val="Header"/>
      <w:spacing w:line="480" w:lineRule="auto"/>
      <w:rPr>
        <w:rFonts w:ascii="Times New Roman" w:hAnsi="Times New Roman" w:cs="Times New Roman"/>
        <w:sz w:val="24"/>
        <w:szCs w:val="24"/>
        <w:lang w:val="en-GB"/>
      </w:rPr>
    </w:pPr>
    <w:r w:rsidRPr="003E166E">
      <w:rPr>
        <w:rFonts w:ascii="Times New Roman" w:hAnsi="Times New Roman" w:cs="Times New Roman"/>
        <w:sz w:val="24"/>
        <w:szCs w:val="24"/>
        <w:lang w:val="en-GB"/>
      </w:rPr>
      <w:t>Running Head:</w:t>
    </w:r>
    <w:r w:rsidRPr="003E166E">
      <w:rPr>
        <w:rFonts w:ascii="Times New Roman" w:hAnsi="Times New Roman" w:cs="Times New Roman"/>
        <w:sz w:val="24"/>
        <w:szCs w:val="24"/>
      </w:rPr>
      <w:t xml:space="preserve"> HARLEM RENAISSANCE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62F94"/>
    <w:rsid w:val="000457DD"/>
    <w:rsid w:val="0008186C"/>
    <w:rsid w:val="000B2C9E"/>
    <w:rsid w:val="000B513F"/>
    <w:rsid w:val="001B62A0"/>
    <w:rsid w:val="00226590"/>
    <w:rsid w:val="00271698"/>
    <w:rsid w:val="0034670B"/>
    <w:rsid w:val="003E166E"/>
    <w:rsid w:val="004D00EE"/>
    <w:rsid w:val="006A65C8"/>
    <w:rsid w:val="006E58B1"/>
    <w:rsid w:val="007F340C"/>
    <w:rsid w:val="00897AA9"/>
    <w:rsid w:val="00962217"/>
    <w:rsid w:val="00970718"/>
    <w:rsid w:val="00996BEA"/>
    <w:rsid w:val="00A45CBB"/>
    <w:rsid w:val="00B074B8"/>
    <w:rsid w:val="00BF3867"/>
    <w:rsid w:val="00CE228E"/>
    <w:rsid w:val="00D62F94"/>
    <w:rsid w:val="00D9530D"/>
    <w:rsid w:val="00E24CE6"/>
    <w:rsid w:val="00E3551C"/>
    <w:rsid w:val="00E9620B"/>
    <w:rsid w:val="00F046F5"/>
    <w:rsid w:val="00F15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11F864-A8AB-4011-9968-DBEF3F51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00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074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45C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CBB"/>
  </w:style>
  <w:style w:type="paragraph" w:styleId="Footer">
    <w:name w:val="footer"/>
    <w:basedOn w:val="Normal"/>
    <w:link w:val="FooterChar"/>
    <w:uiPriority w:val="99"/>
    <w:unhideWhenUsed/>
    <w:rsid w:val="00A45C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9926903">
      <w:bodyDiv w:val="1"/>
      <w:marLeft w:val="0"/>
      <w:marRight w:val="0"/>
      <w:marTop w:val="0"/>
      <w:marBottom w:val="0"/>
      <w:divBdr>
        <w:top w:val="none" w:sz="0" w:space="0" w:color="auto"/>
        <w:left w:val="none" w:sz="0" w:space="0" w:color="auto"/>
        <w:bottom w:val="none" w:sz="0" w:space="0" w:color="auto"/>
        <w:right w:val="none" w:sz="0" w:space="0" w:color="auto"/>
      </w:divBdr>
    </w:div>
    <w:div w:id="567955131">
      <w:bodyDiv w:val="1"/>
      <w:marLeft w:val="0"/>
      <w:marRight w:val="0"/>
      <w:marTop w:val="0"/>
      <w:marBottom w:val="0"/>
      <w:divBdr>
        <w:top w:val="none" w:sz="0" w:space="0" w:color="auto"/>
        <w:left w:val="none" w:sz="0" w:space="0" w:color="auto"/>
        <w:bottom w:val="none" w:sz="0" w:space="0" w:color="auto"/>
        <w:right w:val="none" w:sz="0" w:space="0" w:color="auto"/>
      </w:divBdr>
    </w:div>
    <w:div w:id="79733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5</Pages>
  <Words>879</Words>
  <Characters>5016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14</cp:revision>
  <dcterms:created xsi:type="dcterms:W3CDTF">2021-11-16T05:42:00Z</dcterms:created>
  <dcterms:modified xsi:type="dcterms:W3CDTF">2021-11-16T11:54:00Z</dcterms:modified>
</cp:coreProperties>
</file>